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hd w:val="clear" w:fill="FFFFFF"/>
        <w:spacing w:before="300" w:beforeAutospacing="0" w:after="150" w:afterAutospacing="0" w:line="17" w:lineRule="atLeast"/>
        <w:ind w:left="0" w:firstLine="0"/>
        <w:jc w:val="center"/>
        <w:rPr>
          <w:rFonts w:hint="eastAsia" w:ascii="Helvetica" w:hAnsi="Helvetica" w:eastAsia="宋体" w:cs="Helvetica"/>
          <w:i w:val="0"/>
          <w:caps w:val="0"/>
          <w:color w:val="333333"/>
          <w:spacing w:val="7"/>
          <w:sz w:val="32"/>
          <w:szCs w:val="32"/>
          <w:shd w:val="clear" w:fill="FFFFFF"/>
          <w:lang w:eastAsia="zh-CN"/>
        </w:rPr>
      </w:pPr>
      <w:r>
        <w:rPr>
          <w:rFonts w:hint="default" w:ascii="Helvetica" w:hAnsi="Helvetica" w:eastAsia="Helvetica" w:cs="Helvetica"/>
          <w:i w:val="0"/>
          <w:caps w:val="0"/>
          <w:color w:val="333333"/>
          <w:spacing w:val="7"/>
          <w:sz w:val="32"/>
          <w:szCs w:val="32"/>
          <w:shd w:val="clear" w:fill="FFFFFF"/>
        </w:rPr>
        <w:t>“可知”电子书平台</w:t>
      </w:r>
      <w:r>
        <w:rPr>
          <w:rFonts w:hint="eastAsia" w:ascii="Helvetica" w:hAnsi="Helvetica" w:cs="Helvetica"/>
          <w:i w:val="0"/>
          <w:caps w:val="0"/>
          <w:color w:val="333333"/>
          <w:spacing w:val="7"/>
          <w:sz w:val="32"/>
          <w:szCs w:val="32"/>
          <w:shd w:val="clear" w:fill="FFFFFF"/>
          <w:lang w:eastAsia="zh-CN"/>
        </w:rPr>
        <w:t>简要使用说明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firstLine="360"/>
        <w:jc w:val="center"/>
        <w:rPr>
          <w:rStyle w:val="8"/>
          <w:rFonts w:hint="eastAsia" w:ascii="微软雅黑" w:hAnsi="微软雅黑" w:eastAsia="微软雅黑" w:cs="微软雅黑"/>
          <w:i w:val="0"/>
          <w:caps w:val="0"/>
          <w:color w:val="FFA900"/>
          <w:spacing w:val="8"/>
          <w:sz w:val="27"/>
          <w:szCs w:val="27"/>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firstLine="360"/>
        <w:jc w:val="center"/>
        <w:rPr>
          <w:rStyle w:val="8"/>
          <w:rFonts w:hint="eastAsia" w:ascii="微软雅黑" w:hAnsi="微软雅黑" w:eastAsia="微软雅黑" w:cs="微软雅黑"/>
          <w:i w:val="0"/>
          <w:caps w:val="0"/>
          <w:color w:val="FFA900"/>
          <w:spacing w:val="8"/>
          <w:sz w:val="27"/>
          <w:szCs w:val="27"/>
          <w:shd w:val="clear" w:fill="FFFFFF"/>
        </w:rPr>
      </w:pPr>
      <w:r>
        <w:rPr>
          <w:rStyle w:val="8"/>
          <w:rFonts w:hint="eastAsia" w:ascii="微软雅黑" w:hAnsi="微软雅黑" w:eastAsia="微软雅黑" w:cs="微软雅黑"/>
          <w:i w:val="0"/>
          <w:caps w:val="0"/>
          <w:color w:val="FFA900"/>
          <w:spacing w:val="8"/>
          <w:sz w:val="27"/>
          <w:szCs w:val="27"/>
          <w:shd w:val="clear" w:fill="FFFFFF"/>
          <w:lang w:eastAsia="zh-CN"/>
        </w:rPr>
        <w:t>一、</w:t>
      </w:r>
      <w:r>
        <w:rPr>
          <w:rStyle w:val="8"/>
          <w:rFonts w:hint="eastAsia" w:ascii="微软雅黑" w:hAnsi="微软雅黑" w:eastAsia="微软雅黑" w:cs="微软雅黑"/>
          <w:i w:val="0"/>
          <w:caps w:val="0"/>
          <w:color w:val="FFA900"/>
          <w:spacing w:val="8"/>
          <w:sz w:val="27"/>
          <w:szCs w:val="27"/>
          <w:shd w:val="clear" w:fill="FFFFFF"/>
        </w:rPr>
        <w:t>“可知”平台简介</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sz w:val="24"/>
          <w:szCs w:val="24"/>
        </w:rPr>
      </w:pPr>
      <w:r>
        <w:rPr>
          <w:rFonts w:hint="eastAsia" w:ascii="宋体" w:hAnsi="宋体" w:eastAsia="宋体" w:cs="宋体"/>
          <w:color w:val="333333"/>
          <w:sz w:val="24"/>
          <w:szCs w:val="24"/>
        </w:rPr>
        <w:t xml:space="preserve">“可知”平台，是由电子工业出版社、人民邮电出版社、化学工业出版社、人民卫生出版社、机械工业出版社、建筑工业出版社、社会科学文献出版社、商务印书馆、中国人民大学出版社、北京大学出版社、上海交通大学出版社、浙江大学出版社等110家知名出版社入驻并直接提供数字资源的知识服务平台，是国内最新专业电子图书的阅读应用平台，已入选中共中央宣传部中国新闻出版研究院“国家知识服务平台”的首批分平台。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微软雅黑" w:hAnsi="微软雅黑" w:eastAsia="微软雅黑" w:cs="微软雅黑"/>
          <w:color w:val="333333"/>
          <w:sz w:val="21"/>
          <w:szCs w:val="21"/>
          <w:highlight w:val="yellow"/>
          <w:lang w:val="en-US" w:eastAsia="zh-CN"/>
        </w:rPr>
      </w:pPr>
      <w:r>
        <w:rPr>
          <w:rFonts w:hint="eastAsia" w:ascii="宋体" w:hAnsi="宋体" w:eastAsia="宋体" w:cs="宋体"/>
          <w:color w:val="333333"/>
          <w:sz w:val="24"/>
          <w:szCs w:val="24"/>
          <w:lang w:val="en-US" w:eastAsia="zh-CN"/>
        </w:rPr>
        <w:t>目前“可知”平台提供近14万册正版电子书的在线阅读服务，包含2020年各出版社最新图书，部分电子书与纸书出版保持同步，并持续更新。平台提供院系学科和中图分类导航、资源检索、图书阅读以及后台管理等功能，支持跨出版社、跨图书全文检索、荐购试读全本、知识问答、知识关联阅读等独特功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firstLine="360"/>
        <w:jc w:val="center"/>
        <w:rPr>
          <w:rStyle w:val="8"/>
          <w:rFonts w:hint="eastAsia" w:ascii="微软雅黑" w:hAnsi="微软雅黑" w:eastAsia="微软雅黑" w:cs="微软雅黑"/>
          <w:i w:val="0"/>
          <w:caps w:val="0"/>
          <w:color w:val="FFA900"/>
          <w:spacing w:val="8"/>
          <w:sz w:val="27"/>
          <w:szCs w:val="27"/>
          <w:shd w:val="clear" w:fill="FFFFFF"/>
        </w:rPr>
      </w:pPr>
      <w:r>
        <w:rPr>
          <w:rStyle w:val="8"/>
          <w:rFonts w:hint="eastAsia" w:ascii="微软雅黑" w:hAnsi="微软雅黑" w:eastAsia="微软雅黑" w:cs="微软雅黑"/>
          <w:i w:val="0"/>
          <w:caps w:val="0"/>
          <w:color w:val="FFA900"/>
          <w:spacing w:val="8"/>
          <w:sz w:val="27"/>
          <w:szCs w:val="27"/>
          <w:shd w:val="clear" w:fill="FFFFFF"/>
        </w:rPr>
        <w:t>二、“可知”平台</w:t>
      </w:r>
      <w:r>
        <w:rPr>
          <w:rStyle w:val="8"/>
          <w:rFonts w:hint="eastAsia" w:ascii="微软雅黑" w:hAnsi="微软雅黑" w:eastAsia="微软雅黑" w:cs="微软雅黑"/>
          <w:i w:val="0"/>
          <w:caps w:val="0"/>
          <w:color w:val="FFA900"/>
          <w:spacing w:val="8"/>
          <w:sz w:val="27"/>
          <w:szCs w:val="27"/>
          <w:shd w:val="clear" w:fill="FFFFFF"/>
          <w:lang w:eastAsia="zh-CN"/>
        </w:rPr>
        <w:t>登录</w:t>
      </w:r>
      <w:r>
        <w:rPr>
          <w:rStyle w:val="8"/>
          <w:rFonts w:hint="eastAsia" w:ascii="微软雅黑" w:hAnsi="微软雅黑" w:eastAsia="微软雅黑" w:cs="微软雅黑"/>
          <w:i w:val="0"/>
          <w:caps w:val="0"/>
          <w:color w:val="FFA900"/>
          <w:spacing w:val="8"/>
          <w:sz w:val="27"/>
          <w:szCs w:val="27"/>
          <w:shd w:val="clear" w:fill="FFFFFF"/>
          <w:lang w:val="en-US" w:eastAsia="zh-CN"/>
        </w:rPr>
        <w:t>/</w:t>
      </w:r>
      <w:r>
        <w:rPr>
          <w:rStyle w:val="8"/>
          <w:rFonts w:hint="eastAsia" w:ascii="微软雅黑" w:hAnsi="微软雅黑" w:eastAsia="微软雅黑" w:cs="微软雅黑"/>
          <w:i w:val="0"/>
          <w:caps w:val="0"/>
          <w:color w:val="FFA900"/>
          <w:spacing w:val="8"/>
          <w:sz w:val="27"/>
          <w:szCs w:val="27"/>
          <w:shd w:val="clear" w:fill="FFFFFF"/>
          <w:lang w:eastAsia="zh-CN"/>
        </w:rPr>
        <w:t>认证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8"/>
          <w:rFonts w:hint="eastAsia" w:ascii="微软雅黑" w:hAnsi="微软雅黑" w:eastAsia="微软雅黑" w:cs="微软雅黑"/>
          <w:i w:val="0"/>
          <w:caps w:val="0"/>
          <w:color w:val="333333"/>
          <w:spacing w:val="8"/>
          <w:sz w:val="25"/>
          <w:szCs w:val="25"/>
          <w:shd w:val="clear" w:fill="FFFFFF"/>
          <w:lang w:eastAsia="zh-CN"/>
        </w:rPr>
      </w:pPr>
      <w:r>
        <w:rPr>
          <w:rStyle w:val="8"/>
          <w:rFonts w:hint="eastAsia" w:ascii="微软雅黑" w:hAnsi="微软雅黑" w:eastAsia="微软雅黑" w:cs="微软雅黑"/>
          <w:i w:val="0"/>
          <w:caps w:val="0"/>
          <w:color w:val="333333"/>
          <w:spacing w:val="8"/>
          <w:sz w:val="25"/>
          <w:szCs w:val="25"/>
          <w:shd w:val="clear" w:fill="FFFFFF"/>
        </w:rPr>
        <w:t>第一步：进入可知平台</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通过以下任何一种方式，都可进入可知平台：</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eastAsia="zh-CN"/>
        </w:rPr>
      </w:pPr>
      <w:r>
        <w:rPr>
          <w:rFonts w:hint="eastAsia" w:ascii="宋体" w:hAnsi="宋体" w:eastAsia="宋体" w:cs="宋体"/>
          <w:color w:val="333333"/>
          <w:sz w:val="24"/>
          <w:szCs w:val="24"/>
          <w:lang w:val="en-US" w:eastAsia="zh-CN"/>
        </w:rPr>
        <w:t>1、</w:t>
      </w:r>
      <w:r>
        <w:rPr>
          <w:rFonts w:hint="eastAsia" w:ascii="宋体" w:hAnsi="宋体" w:eastAsia="宋体" w:cs="宋体"/>
          <w:color w:val="333333"/>
          <w:sz w:val="24"/>
          <w:szCs w:val="24"/>
        </w:rPr>
        <w:t>直接访问https://www.keledge.com</w:t>
      </w:r>
      <w:r>
        <w:rPr>
          <w:rFonts w:hint="eastAsia" w:ascii="宋体" w:hAnsi="宋体" w:eastAsia="宋体" w:cs="宋体"/>
          <w:color w:val="333333"/>
          <w:sz w:val="24"/>
          <w:szCs w:val="24"/>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lang w:val="en-US" w:eastAsia="zh-CN"/>
        </w:rPr>
        <w:t>2、移动端</w:t>
      </w:r>
      <w:r>
        <w:rPr>
          <w:rFonts w:hint="eastAsia" w:ascii="宋体" w:hAnsi="宋体" w:eastAsia="宋体" w:cs="宋体"/>
          <w:color w:val="333333"/>
          <w:sz w:val="24"/>
          <w:szCs w:val="24"/>
        </w:rPr>
        <w:t>扫描以下二维码，下载/安装可知APP</w:t>
      </w:r>
      <w:r>
        <w:rPr>
          <w:rFonts w:hint="eastAsia" w:ascii="宋体" w:hAnsi="宋体" w:eastAsia="宋体" w:cs="宋体"/>
          <w:color w:val="333333"/>
          <w:sz w:val="24"/>
          <w:szCs w:val="24"/>
          <w:lang w:eastAsia="zh-CN"/>
        </w:rPr>
        <w:t>，或者</w:t>
      </w:r>
      <w:r>
        <w:rPr>
          <w:rFonts w:hint="eastAsia" w:ascii="宋体" w:hAnsi="宋体" w:eastAsia="宋体" w:cs="宋体"/>
          <w:color w:val="333333"/>
          <w:sz w:val="24"/>
          <w:szCs w:val="24"/>
          <w:lang w:val="en-US" w:eastAsia="zh-CN"/>
        </w:rPr>
        <w:t>访问m</w:t>
      </w:r>
      <w:r>
        <w:rPr>
          <w:rFonts w:hint="eastAsia" w:ascii="宋体" w:hAnsi="宋体" w:eastAsia="宋体" w:cs="宋体"/>
          <w:color w:val="333333"/>
          <w:sz w:val="24"/>
          <w:szCs w:val="24"/>
        </w:rPr>
        <w:t>.keledge.co</w:t>
      </w:r>
      <w:r>
        <w:rPr>
          <w:rFonts w:hint="eastAsia" w:ascii="宋体" w:hAnsi="宋体" w:eastAsia="宋体" w:cs="宋体"/>
          <w:color w:val="333333"/>
          <w:sz w:val="24"/>
          <w:szCs w:val="24"/>
          <w:lang w:val="en-US" w:eastAsia="zh-CN"/>
        </w:rPr>
        <w:t>m</w:t>
      </w:r>
      <w:r>
        <w:rPr>
          <w:rFonts w:hint="eastAsia" w:ascii="宋体" w:hAnsi="宋体" w:eastAsia="宋体" w:cs="宋体"/>
          <w:color w:val="333333"/>
          <w:sz w:val="24"/>
          <w:szCs w:val="24"/>
        </w:rPr>
        <w:t>。</w:t>
      </w:r>
    </w:p>
    <w:p>
      <w:pPr>
        <w:spacing w:line="288" w:lineRule="auto"/>
        <w:ind w:firstLine="480" w:firstLineChars="200"/>
        <w:jc w:val="center"/>
      </w:pPr>
      <w:r>
        <w:rPr>
          <w:rFonts w:ascii="宋体" w:hAnsi="宋体"/>
          <w:sz w:val="24"/>
          <w:szCs w:val="24"/>
        </w:rPr>
        <w:drawing>
          <wp:inline distT="0" distB="0" distL="114300" distR="114300">
            <wp:extent cx="1583690" cy="1583690"/>
            <wp:effectExtent l="0" t="0" r="1651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1583690" cy="1583690"/>
                    </a:xfrm>
                    <a:prstGeom prst="rect">
                      <a:avLst/>
                    </a:prstGeom>
                    <a:noFill/>
                    <a:ln>
                      <a:noFill/>
                    </a:ln>
                  </pic:spPr>
                </pic:pic>
              </a:graphicData>
            </a:graphic>
          </wp:inline>
        </w:drawing>
      </w:r>
    </w:p>
    <w:p>
      <w:pPr>
        <w:spacing w:line="288" w:lineRule="auto"/>
        <w:ind w:right="-483" w:rightChars="-230" w:firstLine="3311" w:firstLineChars="1577"/>
        <w:rPr>
          <w:rFonts w:asciiTheme="minorEastAsia" w:hAnsiTheme="minorEastAsia"/>
          <w:b/>
          <w:color w:val="000000"/>
          <w:sz w:val="24"/>
          <w:szCs w:val="24"/>
        </w:rPr>
      </w:pPr>
      <w:r>
        <w:rPr>
          <w:rFonts w:hint="eastAsia"/>
        </w:rPr>
        <w:t>可知移动端APP二维码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微软雅黑" w:hAnsi="微软雅黑" w:eastAsia="微软雅黑" w:cs="微软雅黑"/>
          <w:i w:val="0"/>
          <w:caps w:val="0"/>
          <w:color w:val="333333"/>
          <w:spacing w:val="8"/>
          <w:sz w:val="25"/>
          <w:szCs w:val="25"/>
          <w:shd w:val="clear" w:fill="FFFFFF"/>
        </w:rPr>
        <w:t>第二步：注册/登录</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rPr>
      </w:pPr>
      <w:r>
        <w:rPr>
          <w:rFonts w:hint="eastAsia" w:ascii="宋体" w:hAnsi="宋体" w:eastAsia="宋体" w:cs="宋体"/>
          <w:color w:val="333333"/>
          <w:sz w:val="24"/>
          <w:szCs w:val="24"/>
        </w:rPr>
        <w:t>使用手机号码注册，注册完成即可登录。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8"/>
          <w:rFonts w:hint="eastAsia" w:ascii="微软雅黑" w:hAnsi="微软雅黑" w:eastAsia="微软雅黑" w:cs="微软雅黑"/>
          <w:i w:val="0"/>
          <w:caps w:val="0"/>
          <w:color w:val="333333"/>
          <w:spacing w:val="8"/>
          <w:sz w:val="25"/>
          <w:szCs w:val="25"/>
          <w:shd w:val="clear" w:fill="FFFFFF"/>
        </w:rPr>
        <w:t>第三步：机构认证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校内IP范围内的</w:t>
      </w:r>
      <w:r>
        <w:rPr>
          <w:rFonts w:hint="eastAsia" w:ascii="宋体" w:hAnsi="宋体" w:eastAsia="宋体" w:cs="宋体"/>
          <w:color w:val="333333"/>
          <w:sz w:val="24"/>
          <w:szCs w:val="24"/>
        </w:rPr>
        <w:t>用户，</w:t>
      </w:r>
      <w:r>
        <w:rPr>
          <w:rFonts w:hint="eastAsia" w:ascii="宋体" w:hAnsi="宋体" w:eastAsia="宋体" w:cs="宋体"/>
          <w:color w:val="333333"/>
          <w:sz w:val="24"/>
          <w:szCs w:val="24"/>
          <w:lang w:eastAsia="zh-CN"/>
        </w:rPr>
        <w:t>进入“用户中心”</w:t>
      </w:r>
      <w:r>
        <w:rPr>
          <w:rFonts w:hint="eastAsia" w:ascii="宋体" w:hAnsi="宋体" w:eastAsia="宋体" w:cs="宋体"/>
          <w:color w:val="333333"/>
          <w:sz w:val="24"/>
          <w:szCs w:val="24"/>
        </w:rPr>
        <w:t>点击“认证”，</w:t>
      </w:r>
      <w:r>
        <w:rPr>
          <w:rFonts w:hint="eastAsia" w:ascii="宋体" w:hAnsi="宋体" w:eastAsia="宋体" w:cs="宋体"/>
          <w:color w:val="333333"/>
          <w:sz w:val="24"/>
          <w:szCs w:val="24"/>
          <w:lang w:eastAsia="zh-CN"/>
        </w:rPr>
        <w:t>选择“认证</w:t>
      </w:r>
      <w:r>
        <w:rPr>
          <w:rFonts w:hint="eastAsia" w:ascii="宋体" w:hAnsi="宋体" w:eastAsia="宋体" w:cs="宋体"/>
          <w:color w:val="333333"/>
          <w:sz w:val="24"/>
          <w:szCs w:val="24"/>
          <w:lang w:val="en-US" w:eastAsia="zh-CN"/>
        </w:rPr>
        <w:t>方式一”，即可实现“IP认证”。用户IP认证后，每次享有最长60天的离校访问权限。</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pPr>
      <w:r>
        <w:drawing>
          <wp:inline distT="0" distB="0" distL="114300" distR="114300">
            <wp:extent cx="4986020" cy="3140710"/>
            <wp:effectExtent l="0" t="0" r="508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986020" cy="3140710"/>
                    </a:xfrm>
                    <a:prstGeom prst="rect">
                      <a:avLst/>
                    </a:prstGeom>
                    <a:noFill/>
                    <a:ln>
                      <a:noFill/>
                    </a:ln>
                  </pic:spPr>
                </pic:pic>
              </a:graphicData>
            </a:graphic>
          </wp:inline>
        </w:drawing>
      </w:r>
    </w:p>
    <w:p>
      <w:pPr>
        <w:ind w:left="432"/>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图</w:t>
      </w:r>
      <w:r>
        <w:rPr>
          <w:rFonts w:hint="eastAsia" w:asciiTheme="minorEastAsia" w:hAnsiTheme="minorEastAsia" w:cstheme="minorEastAsia"/>
          <w:color w:val="000000"/>
          <w:szCs w:val="21"/>
          <w:lang w:val="en-US" w:eastAsia="zh-CN"/>
        </w:rPr>
        <w:t>1</w:t>
      </w:r>
      <w:r>
        <w:rPr>
          <w:rFonts w:hint="eastAsia" w:asciiTheme="minorEastAsia" w:hAnsiTheme="minorEastAsia" w:eastAsiaTheme="minorEastAsia" w:cstheme="minorEastAsia"/>
          <w:color w:val="000000"/>
          <w:szCs w:val="21"/>
        </w:rPr>
        <w:t>：</w:t>
      </w:r>
      <w:r>
        <w:rPr>
          <w:rFonts w:hint="eastAsia" w:asciiTheme="minorEastAsia" w:hAnsiTheme="minorEastAsia" w:cstheme="minorEastAsia"/>
          <w:color w:val="000000"/>
          <w:szCs w:val="21"/>
          <w:lang w:eastAsia="zh-CN"/>
        </w:rPr>
        <w:t>进入“</w:t>
      </w:r>
      <w:r>
        <w:rPr>
          <w:rFonts w:hint="eastAsia" w:asciiTheme="minorEastAsia" w:hAnsiTheme="minorEastAsia" w:eastAsiaTheme="minorEastAsia" w:cstheme="minorEastAsia"/>
          <w:color w:val="000000"/>
          <w:szCs w:val="21"/>
        </w:rPr>
        <w:t>用户</w:t>
      </w:r>
      <w:r>
        <w:rPr>
          <w:rFonts w:hint="eastAsia" w:asciiTheme="minorEastAsia" w:hAnsiTheme="minorEastAsia" w:cstheme="minorEastAsia"/>
          <w:color w:val="000000"/>
          <w:szCs w:val="21"/>
          <w:lang w:eastAsia="zh-CN"/>
        </w:rPr>
        <w:t>中心”</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default"/>
          <w:lang w:val="en-US" w:eastAsia="zh-CN"/>
        </w:rPr>
      </w:pPr>
    </w:p>
    <w:p>
      <w:pPr>
        <w:jc w:val="center"/>
        <w:rPr>
          <w:rFonts w:asciiTheme="minorEastAsia" w:hAnsiTheme="minorEastAsia" w:eastAsiaTheme="minorEastAsia" w:cstheme="minorEastAsia"/>
          <w:color w:val="000000"/>
          <w:szCs w:val="21"/>
        </w:rPr>
      </w:pPr>
      <w:r>
        <w:drawing>
          <wp:inline distT="0" distB="0" distL="114300" distR="114300">
            <wp:extent cx="4964430" cy="2383790"/>
            <wp:effectExtent l="0" t="0" r="762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964430" cy="2383790"/>
                    </a:xfrm>
                    <a:prstGeom prst="rect">
                      <a:avLst/>
                    </a:prstGeom>
                    <a:noFill/>
                    <a:ln>
                      <a:noFill/>
                    </a:ln>
                  </pic:spPr>
                </pic:pic>
              </a:graphicData>
            </a:graphic>
          </wp:inline>
        </w:drawing>
      </w:r>
    </w:p>
    <w:p>
      <w:pPr>
        <w:ind w:left="432"/>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color w:val="000000"/>
          <w:szCs w:val="21"/>
        </w:rPr>
        <w:t>图</w:t>
      </w:r>
      <w:r>
        <w:rPr>
          <w:rFonts w:hint="eastAsia" w:asciiTheme="minorEastAsia" w:hAnsiTheme="minorEastAsia" w:cstheme="minorEastAsia"/>
          <w:color w:val="000000"/>
          <w:szCs w:val="21"/>
          <w:lang w:val="en-US" w:eastAsia="zh-CN"/>
        </w:rPr>
        <w:t>2</w:t>
      </w:r>
      <w:r>
        <w:rPr>
          <w:rFonts w:hint="eastAsia" w:asciiTheme="minorEastAsia" w:hAnsiTheme="minorEastAsia" w:eastAsiaTheme="minorEastAsia" w:cstheme="minorEastAsia"/>
          <w:color w:val="000000"/>
          <w:szCs w:val="21"/>
        </w:rPr>
        <w:t>：用户</w:t>
      </w:r>
      <w:r>
        <w:rPr>
          <w:rFonts w:hint="eastAsia" w:asciiTheme="minorEastAsia" w:hAnsiTheme="minorEastAsia" w:cstheme="minorEastAsia"/>
          <w:color w:val="000000"/>
          <w:szCs w:val="21"/>
          <w:lang w:eastAsia="zh-CN"/>
        </w:rPr>
        <w:t>中心页面</w:t>
      </w:r>
    </w:p>
    <w:p>
      <w:pPr>
        <w:jc w:val="center"/>
        <w:rPr>
          <w:rFonts w:asciiTheme="minorEastAsia" w:hAnsiTheme="minorEastAsia" w:eastAsiaTheme="minorEastAsia" w:cstheme="minorEastAsia"/>
          <w:szCs w:val="21"/>
        </w:rPr>
      </w:pPr>
      <w:r>
        <w:drawing>
          <wp:inline distT="0" distB="0" distL="114300" distR="114300">
            <wp:extent cx="4890770" cy="2501900"/>
            <wp:effectExtent l="0" t="0" r="5080"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890770" cy="2501900"/>
                    </a:xfrm>
                    <a:prstGeom prst="rect">
                      <a:avLst/>
                    </a:prstGeom>
                    <a:noFill/>
                    <a:ln>
                      <a:noFill/>
                    </a:ln>
                  </pic:spPr>
                </pic:pic>
              </a:graphicData>
            </a:graphic>
          </wp:inline>
        </w:drawing>
      </w:r>
    </w:p>
    <w:p>
      <w:pPr>
        <w:rPr>
          <w:rFonts w:asciiTheme="minorEastAsia" w:hAnsiTheme="minorEastAsia" w:eastAsiaTheme="minorEastAsia" w:cstheme="minorEastAsia"/>
          <w:szCs w:val="21"/>
        </w:rPr>
      </w:pPr>
    </w:p>
    <w:p>
      <w:pPr>
        <w:ind w:left="432"/>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图</w:t>
      </w:r>
      <w:r>
        <w:rPr>
          <w:rFonts w:hint="eastAsia" w:asciiTheme="minorEastAsia" w:hAnsiTheme="minorEastAsia" w:cstheme="minorEastAsia"/>
          <w:color w:val="000000"/>
          <w:szCs w:val="21"/>
          <w:lang w:val="en-US" w:eastAsia="zh-CN"/>
        </w:rPr>
        <w:t>3</w:t>
      </w:r>
      <w:r>
        <w:rPr>
          <w:rFonts w:hint="eastAsia" w:asciiTheme="minorEastAsia" w:hAnsiTheme="minorEastAsia" w:eastAsiaTheme="minorEastAsia" w:cstheme="minorEastAsia"/>
          <w:color w:val="000000"/>
          <w:szCs w:val="21"/>
        </w:rPr>
        <w:t>：机构认证页面</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6" w:leftChars="0" w:right="-226" w:firstLine="424" w:firstLineChars="202"/>
        <w:textAlignment w:val="auto"/>
        <w:rPr>
          <w:rFonts w:hint="eastAsia" w:ascii="微软雅黑" w:hAnsi="微软雅黑" w:eastAsia="微软雅黑" w:cs="微软雅黑"/>
          <w:color w:val="333333"/>
          <w:sz w:val="21"/>
          <w:szCs w:val="21"/>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firstLine="360"/>
        <w:jc w:val="center"/>
        <w:rPr>
          <w:rStyle w:val="8"/>
          <w:rFonts w:hint="eastAsia" w:ascii="微软雅黑" w:hAnsi="微软雅黑" w:eastAsia="微软雅黑" w:cs="微软雅黑"/>
          <w:i w:val="0"/>
          <w:caps w:val="0"/>
          <w:color w:val="FFA900"/>
          <w:spacing w:val="8"/>
          <w:sz w:val="27"/>
          <w:szCs w:val="27"/>
          <w:shd w:val="clear" w:fill="FFFFFF"/>
          <w:lang w:eastAsia="zh-CN"/>
        </w:rPr>
      </w:pPr>
      <w:r>
        <w:rPr>
          <w:rStyle w:val="8"/>
          <w:rFonts w:hint="eastAsia" w:ascii="微软雅黑" w:hAnsi="微软雅黑" w:cs="微软雅黑"/>
          <w:i w:val="0"/>
          <w:caps w:val="0"/>
          <w:color w:val="FFA900"/>
          <w:spacing w:val="8"/>
          <w:sz w:val="27"/>
          <w:szCs w:val="27"/>
          <w:shd w:val="clear" w:fill="FFFFFF"/>
          <w:lang w:eastAsia="zh-CN"/>
        </w:rPr>
        <w:t>三</w:t>
      </w:r>
      <w:r>
        <w:rPr>
          <w:rStyle w:val="8"/>
          <w:rFonts w:hint="eastAsia" w:ascii="微软雅黑" w:hAnsi="微软雅黑" w:eastAsia="微软雅黑" w:cs="微软雅黑"/>
          <w:i w:val="0"/>
          <w:caps w:val="0"/>
          <w:color w:val="FFA900"/>
          <w:spacing w:val="8"/>
          <w:sz w:val="27"/>
          <w:szCs w:val="27"/>
          <w:shd w:val="clear" w:fill="FFFFFF"/>
        </w:rPr>
        <w:t>、</w:t>
      </w:r>
      <w:r>
        <w:rPr>
          <w:rStyle w:val="8"/>
          <w:rFonts w:hint="eastAsia" w:ascii="微软雅黑" w:hAnsi="微软雅黑" w:cs="微软雅黑"/>
          <w:i w:val="0"/>
          <w:caps w:val="0"/>
          <w:color w:val="FFA900"/>
          <w:spacing w:val="8"/>
          <w:sz w:val="27"/>
          <w:szCs w:val="27"/>
          <w:shd w:val="clear" w:fill="FFFFFF"/>
          <w:lang w:eastAsia="zh-CN"/>
        </w:rPr>
        <w:t>如何使用</w:t>
      </w:r>
      <w:r>
        <w:rPr>
          <w:rStyle w:val="8"/>
          <w:rFonts w:hint="eastAsia" w:ascii="微软雅黑" w:hAnsi="微软雅黑" w:eastAsia="微软雅黑" w:cs="微软雅黑"/>
          <w:i w:val="0"/>
          <w:caps w:val="0"/>
          <w:color w:val="FFA900"/>
          <w:spacing w:val="8"/>
          <w:sz w:val="27"/>
          <w:szCs w:val="27"/>
          <w:shd w:val="clear" w:fill="FFFFFF"/>
        </w:rPr>
        <w:t>“可知”平台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 w:afterAutospacing="0"/>
        <w:ind w:left="0" w:right="0"/>
        <w:jc w:val="both"/>
        <w:rPr>
          <w:sz w:val="25"/>
          <w:szCs w:val="25"/>
        </w:rPr>
      </w:pPr>
      <w:r>
        <w:rPr>
          <w:rStyle w:val="8"/>
          <w:rFonts w:hint="eastAsia" w:ascii="微软雅黑" w:hAnsi="微软雅黑" w:cs="微软雅黑"/>
          <w:i w:val="0"/>
          <w:caps w:val="0"/>
          <w:color w:val="0080FF"/>
          <w:spacing w:val="8"/>
          <w:sz w:val="25"/>
          <w:szCs w:val="25"/>
          <w:shd w:val="clear" w:fill="FFFFFF"/>
          <w:lang w:val="en-US" w:eastAsia="zh-CN"/>
        </w:rPr>
        <w:t>1、</w:t>
      </w:r>
      <w:r>
        <w:rPr>
          <w:rStyle w:val="8"/>
          <w:rFonts w:hint="eastAsia" w:ascii="微软雅黑" w:hAnsi="微软雅黑" w:eastAsia="微软雅黑" w:cs="微软雅黑"/>
          <w:i w:val="0"/>
          <w:caps w:val="0"/>
          <w:color w:val="0080FF"/>
          <w:spacing w:val="8"/>
          <w:sz w:val="25"/>
          <w:szCs w:val="25"/>
          <w:shd w:val="clear" w:fill="FFFFFF"/>
        </w:rPr>
        <w:t>资源查找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可根据可知分类、院系导航或快速搜索、高级搜索进行资源检索和查找。</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drawing>
          <wp:inline distT="0" distB="0" distL="114300" distR="114300">
            <wp:extent cx="5483225" cy="3230245"/>
            <wp:effectExtent l="0" t="0" r="317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483225" cy="323024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 w:afterAutospacing="0"/>
        <w:ind w:left="0" w:right="0"/>
        <w:jc w:val="both"/>
        <w:rPr>
          <w:rStyle w:val="8"/>
          <w:rFonts w:hint="eastAsia" w:ascii="微软雅黑" w:hAnsi="微软雅黑" w:eastAsia="微软雅黑" w:cs="微软雅黑"/>
          <w:i w:val="0"/>
          <w:caps w:val="0"/>
          <w:color w:val="0080FF"/>
          <w:spacing w:val="8"/>
          <w:sz w:val="25"/>
          <w:szCs w:val="25"/>
          <w:shd w:val="clear" w:fill="FFFFFF"/>
        </w:rPr>
      </w:pPr>
      <w:r>
        <w:rPr>
          <w:rStyle w:val="8"/>
          <w:rFonts w:hint="eastAsia" w:ascii="微软雅黑" w:hAnsi="微软雅黑" w:eastAsia="微软雅黑" w:cs="微软雅黑"/>
          <w:i w:val="0"/>
          <w:caps w:val="0"/>
          <w:color w:val="0080FF"/>
          <w:spacing w:val="8"/>
          <w:sz w:val="25"/>
          <w:szCs w:val="25"/>
          <w:shd w:val="clear" w:fill="FFFFFF"/>
          <w:lang w:val="en-US" w:eastAsia="zh-CN"/>
        </w:rPr>
        <w:t>2、</w:t>
      </w:r>
      <w:r>
        <w:rPr>
          <w:rStyle w:val="8"/>
          <w:rFonts w:hint="eastAsia" w:ascii="微软雅黑" w:hAnsi="微软雅黑" w:eastAsia="微软雅黑" w:cs="微软雅黑"/>
          <w:i w:val="0"/>
          <w:caps w:val="0"/>
          <w:color w:val="0080FF"/>
          <w:spacing w:val="8"/>
          <w:sz w:val="25"/>
          <w:szCs w:val="25"/>
          <w:shd w:val="clear" w:fill="FFFFFF"/>
        </w:rPr>
        <w:t>电子书试读和荐购</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在查找到想要的资源后，可点击图书封面进入图书详情进行试读和荐购。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 w:afterAutospacing="0"/>
        <w:ind w:left="0" w:right="0"/>
        <w:jc w:val="center"/>
      </w:pPr>
      <w:r>
        <w:drawing>
          <wp:inline distT="0" distB="0" distL="114300" distR="114300">
            <wp:extent cx="5485130" cy="3373755"/>
            <wp:effectExtent l="0" t="0" r="1270" b="171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485130" cy="337375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 w:afterAutospacing="0"/>
        <w:ind w:left="0" w:right="0"/>
        <w:jc w:val="both"/>
        <w:rPr>
          <w:sz w:val="25"/>
          <w:szCs w:val="25"/>
        </w:rPr>
      </w:pPr>
      <w:r>
        <w:rPr>
          <w:rStyle w:val="8"/>
          <w:rFonts w:hint="eastAsia" w:ascii="微软雅黑" w:hAnsi="微软雅黑" w:cs="微软雅黑"/>
          <w:i w:val="0"/>
          <w:caps w:val="0"/>
          <w:color w:val="0080FF"/>
          <w:spacing w:val="8"/>
          <w:sz w:val="25"/>
          <w:szCs w:val="25"/>
          <w:shd w:val="clear" w:fill="FFFFFF"/>
          <w:lang w:val="en-US" w:eastAsia="zh-CN"/>
        </w:rPr>
        <w:t>3、</w:t>
      </w:r>
      <w:r>
        <w:rPr>
          <w:rStyle w:val="8"/>
          <w:rFonts w:hint="eastAsia" w:ascii="微软雅黑" w:hAnsi="微软雅黑" w:eastAsia="微软雅黑" w:cs="微软雅黑"/>
          <w:i w:val="0"/>
          <w:caps w:val="0"/>
          <w:color w:val="0080FF"/>
          <w:spacing w:val="8"/>
          <w:sz w:val="25"/>
          <w:szCs w:val="25"/>
          <w:shd w:val="clear" w:fill="FFFFFF"/>
        </w:rPr>
        <w:t>全文阅读</w:t>
      </w:r>
      <w:r>
        <w:rPr>
          <w:rFonts w:hint="eastAsia" w:ascii="微软雅黑" w:hAnsi="微软雅黑" w:eastAsia="微软雅黑" w:cs="微软雅黑"/>
          <w:b w:val="0"/>
          <w:i w:val="0"/>
          <w:caps w:val="0"/>
          <w:color w:val="333333"/>
          <w:spacing w:val="8"/>
          <w:sz w:val="25"/>
          <w:szCs w:val="25"/>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点击“在线试读”，可阅读图书的试读部分。大多数</w:t>
      </w:r>
      <w:r>
        <w:rPr>
          <w:rFonts w:hint="eastAsia" w:ascii="宋体" w:hAnsi="宋体" w:eastAsia="宋体" w:cs="宋体"/>
          <w:color w:val="333333"/>
          <w:sz w:val="24"/>
          <w:szCs w:val="24"/>
          <w:lang w:val="en-US" w:eastAsia="zh-CN"/>
        </w:rPr>
        <w:t>图书在您试读部分结束时提示是否荐购，点击“立即荐购”即可享受1天阅读全本的权限（个别出版社不支持）</w:t>
      </w:r>
      <w:r>
        <w:rPr>
          <w:rFonts w:hint="eastAsia" w:ascii="宋体" w:hAnsi="宋体" w:eastAsia="宋体" w:cs="宋体"/>
          <w:color w:val="333333"/>
          <w:sz w:val="24"/>
          <w:szCs w:val="24"/>
          <w:lang w:val="en-US" w:eastAsia="zh-CN"/>
        </w:rPr>
        <w:t>。当荐购的图书被图书馆采购后，平台将会推送上架通知，读者可以长期阅读。</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jc w:val="both"/>
        <w:textAlignment w:val="auto"/>
      </w:pPr>
      <w:r>
        <w:drawing>
          <wp:inline distT="0" distB="0" distL="114300" distR="114300">
            <wp:extent cx="5485130" cy="3185795"/>
            <wp:effectExtent l="0" t="0" r="1270" b="146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485130" cy="318579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 w:afterAutospacing="0"/>
        <w:ind w:left="0" w:right="0"/>
        <w:jc w:val="both"/>
        <w:rPr>
          <w:rStyle w:val="8"/>
          <w:rFonts w:hint="eastAsia" w:ascii="微软雅黑" w:hAnsi="微软雅黑" w:eastAsia="微软雅黑" w:cs="微软雅黑"/>
          <w:i w:val="0"/>
          <w:caps w:val="0"/>
          <w:color w:val="0080FF"/>
          <w:spacing w:val="8"/>
          <w:sz w:val="25"/>
          <w:szCs w:val="25"/>
          <w:shd w:val="clear" w:fill="FFFFFF"/>
          <w:lang w:val="en-US" w:eastAsia="zh-CN"/>
        </w:rPr>
      </w:pPr>
      <w:bookmarkStart w:id="0" w:name="_Toc14639"/>
      <w:r>
        <w:rPr>
          <w:rStyle w:val="8"/>
          <w:rFonts w:hint="eastAsia" w:ascii="微软雅黑" w:hAnsi="微软雅黑" w:eastAsia="微软雅黑" w:cs="微软雅黑"/>
          <w:i w:val="0"/>
          <w:caps w:val="0"/>
          <w:color w:val="0080FF"/>
          <w:spacing w:val="8"/>
          <w:sz w:val="25"/>
          <w:szCs w:val="25"/>
          <w:shd w:val="clear" w:fill="FFFFFF"/>
          <w:lang w:val="en-US" w:eastAsia="zh-CN"/>
        </w:rPr>
        <w:t>4、“寻品”功能，促进馆社融合</w:t>
      </w:r>
      <w:bookmarkEnd w:id="0"/>
      <w:r>
        <w:rPr>
          <w:rStyle w:val="8"/>
          <w:rFonts w:hint="eastAsia" w:ascii="微软雅黑" w:hAnsi="微软雅黑" w:eastAsia="微软雅黑" w:cs="微软雅黑"/>
          <w:i w:val="0"/>
          <w:caps w:val="0"/>
          <w:color w:val="0080FF"/>
          <w:spacing w:val="8"/>
          <w:sz w:val="25"/>
          <w:szCs w:val="25"/>
          <w:shd w:val="clear" w:fill="FFFFFF"/>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对于在可知平台上没有找到的图书，可知平台提供“寻品”功能。</w:t>
      </w:r>
      <w:r>
        <w:rPr>
          <w:rFonts w:hint="default" w:ascii="宋体" w:hAnsi="宋体" w:eastAsia="宋体" w:cs="宋体"/>
          <w:sz w:val="24"/>
          <w:szCs w:val="24"/>
          <w:lang w:val="en-US" w:eastAsia="zh-CN" w:bidi="ar-SA"/>
        </w:rPr>
        <w:t>图书馆</w:t>
      </w:r>
      <w:r>
        <w:rPr>
          <w:rFonts w:hint="eastAsia" w:ascii="宋体" w:hAnsi="宋体" w:eastAsia="宋体" w:cs="宋体"/>
          <w:sz w:val="24"/>
          <w:szCs w:val="24"/>
          <w:lang w:val="en-US" w:eastAsia="zh-CN" w:bidi="ar-SA"/>
        </w:rPr>
        <w:t>馆员</w:t>
      </w:r>
      <w:r>
        <w:rPr>
          <w:rFonts w:hint="default" w:ascii="宋体" w:hAnsi="宋体" w:eastAsia="宋体" w:cs="宋体"/>
          <w:sz w:val="24"/>
          <w:szCs w:val="24"/>
          <w:lang w:val="en-US" w:eastAsia="zh-CN" w:bidi="ar-SA"/>
        </w:rPr>
        <w:t>可</w:t>
      </w:r>
      <w:r>
        <w:rPr>
          <w:rFonts w:hint="eastAsia" w:ascii="宋体" w:hAnsi="宋体" w:eastAsia="宋体" w:cs="宋体"/>
          <w:sz w:val="24"/>
          <w:szCs w:val="24"/>
          <w:lang w:val="en-US" w:eastAsia="zh-CN" w:bidi="ar-SA"/>
        </w:rPr>
        <w:t>通过可知机构管理平台“东南大学图书馆”机构端提交图书清单，平台</w:t>
      </w:r>
      <w:r>
        <w:rPr>
          <w:rFonts w:hint="default" w:ascii="宋体" w:hAnsi="宋体" w:eastAsia="宋体" w:cs="宋体"/>
          <w:sz w:val="24"/>
          <w:szCs w:val="24"/>
          <w:lang w:val="en-US" w:eastAsia="zh-CN" w:bidi="ar-SA"/>
        </w:rPr>
        <w:t>直接向出版社</w:t>
      </w:r>
      <w:r>
        <w:rPr>
          <w:rFonts w:hint="eastAsia" w:ascii="宋体" w:hAnsi="宋体" w:eastAsia="宋体" w:cs="宋体"/>
          <w:sz w:val="24"/>
          <w:szCs w:val="24"/>
          <w:lang w:val="en-US" w:eastAsia="zh-CN" w:bidi="ar-SA"/>
        </w:rPr>
        <w:t>发出“寻品”</w:t>
      </w:r>
      <w:r>
        <w:rPr>
          <w:rFonts w:hint="default" w:ascii="宋体" w:hAnsi="宋体" w:eastAsia="宋体" w:cs="宋体"/>
          <w:sz w:val="24"/>
          <w:szCs w:val="24"/>
          <w:lang w:val="en-US" w:eastAsia="zh-CN" w:bidi="ar-SA"/>
        </w:rPr>
        <w:t>需求，出版社根据需求安排内容上架或推荐替代版本，快速满足采选机构的资源需求。</w:t>
      </w:r>
    </w:p>
    <w:p>
      <w:pPr>
        <w:keepNext w:val="0"/>
        <w:keepLines w:val="0"/>
        <w:pageBreakBefore w:val="0"/>
        <w:widowControl/>
        <w:numPr>
          <w:ilvl w:val="0"/>
          <w:numId w:val="0"/>
        </w:numPr>
        <w:kinsoku/>
        <w:wordWrap/>
        <w:overflowPunct/>
        <w:topLinePunct w:val="0"/>
        <w:autoSpaceDE/>
        <w:autoSpaceDN/>
        <w:bidi w:val="0"/>
        <w:adjustRightInd/>
        <w:snapToGrid/>
        <w:spacing w:before="164" w:beforeLines="50" w:line="360" w:lineRule="auto"/>
        <w:ind w:firstLine="420" w:firstLineChars="200"/>
        <w:jc w:val="center"/>
        <w:textAlignment w:val="auto"/>
        <w:rPr>
          <w:rFonts w:hint="eastAsia" w:ascii="宋体" w:hAnsi="宋体" w:eastAsia="宋体" w:cs="宋体"/>
          <w:sz w:val="24"/>
          <w:szCs w:val="24"/>
          <w:lang w:val="en-US" w:eastAsia="zh-CN" w:bidi="ar-SA"/>
        </w:rPr>
      </w:pPr>
      <w:r>
        <w:drawing>
          <wp:inline distT="0" distB="0" distL="114300" distR="114300">
            <wp:extent cx="5478780" cy="1949450"/>
            <wp:effectExtent l="0" t="0" r="7620" b="1270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478780" cy="1949450"/>
                    </a:xfrm>
                    <a:prstGeom prst="rect">
                      <a:avLst/>
                    </a:prstGeom>
                    <a:noFill/>
                    <a:ln>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jc w:val="both"/>
        <w:textAlignment w:val="auto"/>
        <w:rPr>
          <w:rFonts w:hint="eastAsia"/>
          <w:lang w:val="en-US"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5" w:lineRule="atLeast"/>
        <w:ind w:left="0" w:right="0" w:firstLine="360"/>
        <w:jc w:val="center"/>
      </w:pPr>
      <w:r>
        <w:rPr>
          <w:rStyle w:val="8"/>
          <w:rFonts w:hint="eastAsia" w:ascii="微软雅黑" w:hAnsi="微软雅黑" w:eastAsia="微软雅黑" w:cs="微软雅黑"/>
          <w:i w:val="0"/>
          <w:caps w:val="0"/>
          <w:color w:val="FFA900"/>
          <w:spacing w:val="8"/>
          <w:sz w:val="27"/>
          <w:szCs w:val="27"/>
          <w:shd w:val="clear" w:fill="FFFFFF"/>
          <w:lang w:eastAsia="zh-CN"/>
        </w:rPr>
        <w:t>最新功能，等您尝鲜！</w:t>
      </w:r>
      <w:r>
        <w:rPr>
          <w:rStyle w:val="8"/>
          <w:rFonts w:hint="eastAsia" w:ascii="微软雅黑" w:hAnsi="微软雅黑" w:eastAsia="微软雅黑" w:cs="微软雅黑"/>
          <w:i w:val="0"/>
          <w:caps w:val="0"/>
          <w:color w:val="FFA900"/>
          <w:spacing w:val="8"/>
          <w:sz w:val="27"/>
          <w:szCs w:val="27"/>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i w:val="0"/>
          <w:caps w:val="0"/>
          <w:color w:val="333333"/>
          <w:spacing w:val="8"/>
          <w:sz w:val="25"/>
          <w:szCs w:val="25"/>
          <w:shd w:val="clear" w:fill="FFFFFF"/>
        </w:rPr>
      </w:pPr>
      <w:r>
        <w:rPr>
          <w:rStyle w:val="8"/>
          <w:rFonts w:hint="eastAsia" w:ascii="微软雅黑" w:hAnsi="微软雅黑" w:eastAsia="微软雅黑" w:cs="微软雅黑"/>
          <w:i w:val="0"/>
          <w:caps w:val="0"/>
          <w:color w:val="0080FF"/>
          <w:spacing w:val="8"/>
          <w:sz w:val="25"/>
          <w:szCs w:val="25"/>
          <w:shd w:val="clear" w:fill="FFFFFF"/>
        </w:rPr>
        <w:t> </w:t>
      </w:r>
      <w:r>
        <w:rPr>
          <w:rStyle w:val="8"/>
          <w:rFonts w:hint="eastAsia" w:ascii="微软雅黑" w:hAnsi="微软雅黑" w:cs="微软雅黑"/>
          <w:i w:val="0"/>
          <w:caps w:val="0"/>
          <w:color w:val="0080FF"/>
          <w:spacing w:val="8"/>
          <w:sz w:val="25"/>
          <w:szCs w:val="25"/>
          <w:shd w:val="clear" w:fill="FFFFFF"/>
          <w:lang w:val="en-US" w:eastAsia="zh-CN"/>
        </w:rPr>
        <w:t>1</w:t>
      </w:r>
      <w:r>
        <w:rPr>
          <w:rStyle w:val="8"/>
          <w:rFonts w:hint="eastAsia" w:ascii="微软雅黑" w:hAnsi="微软雅黑" w:eastAsia="微软雅黑" w:cs="微软雅黑"/>
          <w:i w:val="0"/>
          <w:caps w:val="0"/>
          <w:color w:val="0080FF"/>
          <w:spacing w:val="8"/>
          <w:sz w:val="25"/>
          <w:szCs w:val="25"/>
          <w:shd w:val="clear" w:fill="FFFFFF"/>
        </w:rPr>
        <w:t>、“</w:t>
      </w:r>
      <w:r>
        <w:rPr>
          <w:rStyle w:val="8"/>
          <w:rFonts w:hint="eastAsia" w:ascii="微软雅黑" w:hAnsi="微软雅黑" w:eastAsia="微软雅黑" w:cs="微软雅黑"/>
          <w:i w:val="0"/>
          <w:caps w:val="0"/>
          <w:color w:val="0080FF"/>
          <w:spacing w:val="8"/>
          <w:sz w:val="25"/>
          <w:szCs w:val="25"/>
          <w:shd w:val="clear" w:fill="FFFFFF"/>
          <w:lang w:eastAsia="zh-CN"/>
        </w:rPr>
        <w:t>可知道</w:t>
      </w:r>
      <w:r>
        <w:rPr>
          <w:rStyle w:val="8"/>
          <w:rFonts w:hint="eastAsia" w:ascii="微软雅黑" w:hAnsi="微软雅黑" w:eastAsia="微软雅黑" w:cs="微软雅黑"/>
          <w:i w:val="0"/>
          <w:caps w:val="0"/>
          <w:color w:val="0080FF"/>
          <w:spacing w:val="8"/>
          <w:sz w:val="25"/>
          <w:szCs w:val="25"/>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“可知道”是一种破壁化的阅读方案，将专业电子书内容解构为问答知识库, 读者搜索一个知识点，或者一个问题，“可知”知识服务平台将直接给出该知识点在书中的解答，实现工具书般条目化的阅读。</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drawing>
          <wp:anchor distT="0" distB="0" distL="114300" distR="114300" simplePos="0" relativeHeight="251659264" behindDoc="0" locked="0" layoutInCell="1" allowOverlap="1">
            <wp:simplePos x="0" y="0"/>
            <wp:positionH relativeFrom="margin">
              <wp:posOffset>357505</wp:posOffset>
            </wp:positionH>
            <wp:positionV relativeFrom="paragraph">
              <wp:posOffset>172085</wp:posOffset>
            </wp:positionV>
            <wp:extent cx="4751705" cy="3011170"/>
            <wp:effectExtent l="0" t="0" r="10795" b="1778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1705" cy="3011170"/>
                    </a:xfrm>
                    <a:prstGeom prst="rect">
                      <a:avLst/>
                    </a:prstGeom>
                  </pic:spPr>
                </pic:pic>
              </a:graphicData>
            </a:graphic>
          </wp:anchor>
        </w:drawing>
      </w:r>
      <w:r>
        <w:rPr>
          <w:rFonts w:hint="eastAsia" w:ascii="宋体" w:hAnsi="宋体" w:eastAsia="宋体" w:cs="宋体"/>
          <w:color w:val="333333"/>
          <w:sz w:val="24"/>
          <w:szCs w:val="24"/>
          <w:lang w:val="en-US" w:eastAsia="zh-CN"/>
        </w:rPr>
        <w:t>“可知道”打破了原有电子书按照章节顺序阅读、无法快速查找所需知识点的阅读弊端，可以帮助读者精准找到所需结果，快速定位相关电子书的特定章节，实现精准链接读者需求，提供权威、专业的“答案”，并按照知识点关联，智能匹配和检索“问题”相关联的知识内容，呈现相关的知识点，实现专业知识内容的高效阅读和学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 w:afterAutospacing="0"/>
        <w:ind w:right="0"/>
        <w:jc w:val="both"/>
        <w:rPr>
          <w:rStyle w:val="8"/>
          <w:rFonts w:hint="eastAsia" w:ascii="微软雅黑" w:hAnsi="微软雅黑" w:eastAsia="微软雅黑" w:cs="微软雅黑"/>
          <w:i w:val="0"/>
          <w:caps w:val="0"/>
          <w:color w:val="0080FF"/>
          <w:spacing w:val="8"/>
          <w:sz w:val="25"/>
          <w:szCs w:val="25"/>
          <w:shd w:val="clear" w:fill="FFFFFF"/>
        </w:rPr>
      </w:pPr>
      <w:r>
        <w:rPr>
          <w:rStyle w:val="8"/>
          <w:rFonts w:hint="eastAsia" w:ascii="微软雅黑" w:hAnsi="微软雅黑" w:cs="微软雅黑"/>
          <w:i w:val="0"/>
          <w:caps w:val="0"/>
          <w:color w:val="0080FF"/>
          <w:spacing w:val="8"/>
          <w:sz w:val="25"/>
          <w:szCs w:val="25"/>
          <w:shd w:val="clear" w:fill="FFFFFF"/>
          <w:lang w:val="en-US" w:eastAsia="zh-CN"/>
        </w:rPr>
        <w:t>2</w:t>
      </w:r>
      <w:r>
        <w:rPr>
          <w:rStyle w:val="8"/>
          <w:rFonts w:hint="eastAsia" w:ascii="微软雅黑" w:hAnsi="微软雅黑" w:eastAsia="微软雅黑" w:cs="微软雅黑"/>
          <w:i w:val="0"/>
          <w:caps w:val="0"/>
          <w:color w:val="0080FF"/>
          <w:spacing w:val="8"/>
          <w:sz w:val="25"/>
          <w:szCs w:val="25"/>
          <w:shd w:val="clear" w:fill="FFFFFF"/>
        </w:rPr>
        <w:t>、“</w:t>
      </w:r>
      <w:r>
        <w:rPr>
          <w:rStyle w:val="8"/>
          <w:rFonts w:hint="eastAsia" w:ascii="微软雅黑" w:hAnsi="微软雅黑" w:eastAsia="微软雅黑" w:cs="微软雅黑"/>
          <w:i w:val="0"/>
          <w:caps w:val="0"/>
          <w:color w:val="0080FF"/>
          <w:spacing w:val="8"/>
          <w:sz w:val="25"/>
          <w:szCs w:val="25"/>
          <w:shd w:val="clear" w:fill="FFFFFF"/>
          <w:lang w:eastAsia="zh-CN"/>
        </w:rPr>
        <w:t>知识阅读</w:t>
      </w:r>
      <w:r>
        <w:rPr>
          <w:rStyle w:val="8"/>
          <w:rFonts w:hint="eastAsia" w:ascii="微软雅黑" w:hAnsi="微软雅黑" w:eastAsia="微软雅黑" w:cs="微软雅黑"/>
          <w:i w:val="0"/>
          <w:caps w:val="0"/>
          <w:color w:val="0080FF"/>
          <w:spacing w:val="8"/>
          <w:sz w:val="25"/>
          <w:szCs w:val="25"/>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知识阅读”是一种阅读与知识体系完美融合的阅读方式。“可知”知识服务平台通过对知识点挖掘、知识体系构建、信息分析，在细分领域内实现知识点体系化，根据知识点关联各种类型资源，供读者进行网络化、体系化阅读。让读者在阅读一本电子书时，既可以学习与之相关的知识点解释，还可以根据知识体系的指引快速获取关联知识内容和资源进行系统性连贯学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drawing>
          <wp:anchor distT="0" distB="0" distL="114300" distR="114300" simplePos="0" relativeHeight="251660288" behindDoc="0" locked="0" layoutInCell="1" allowOverlap="1">
            <wp:simplePos x="0" y="0"/>
            <wp:positionH relativeFrom="column">
              <wp:posOffset>334645</wp:posOffset>
            </wp:positionH>
            <wp:positionV relativeFrom="paragraph">
              <wp:posOffset>69215</wp:posOffset>
            </wp:positionV>
            <wp:extent cx="4867910" cy="2875915"/>
            <wp:effectExtent l="0" t="0" r="8890" b="63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7910" cy="2875915"/>
                    </a:xfrm>
                    <a:prstGeom prst="rect">
                      <a:avLst/>
                    </a:prstGeom>
                  </pic:spPr>
                </pic:pic>
              </a:graphicData>
            </a:graphic>
          </wp:anchor>
        </w:drawing>
      </w:r>
      <w:r>
        <w:rPr>
          <w:rFonts w:hint="eastAsia" w:ascii="宋体" w:hAnsi="宋体" w:eastAsia="宋体" w:cs="宋体"/>
          <w:color w:val="333333"/>
          <w:sz w:val="24"/>
          <w:szCs w:val="24"/>
          <w:lang w:val="en-US" w:eastAsia="zh-CN"/>
        </w:rPr>
        <w:t xml:space="preserve">“知识”阅读既可以满足读者进行系统性连贯学习，同时也服务于教学科研，满足学科资源建设需求。目前“可知”知识服务平台已在电子、电路、雷达、探测、建筑施工等专业领域构建出完善的知识体系，供读者学习。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6" w:leftChars="0" w:right="-227" w:firstLine="484" w:firstLineChars="202"/>
        <w:textAlignment w:val="auto"/>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227"/>
        <w:textAlignment w:val="auto"/>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lang w:val="en-US" w:eastAsia="zh-CN"/>
        </w:rPr>
        <w:t>附件：暂不支持“荐购”1天试读全本的出版社清单</w:t>
      </w:r>
      <w:bookmarkStart w:id="1" w:name="_GoBack"/>
      <w:bookmarkEnd w:id="1"/>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226"/>
        <w:jc w:val="left"/>
        <w:textAlignment w:val="auto"/>
        <w:rPr>
          <w:rFonts w:hint="eastAsia" w:ascii="微软雅黑" w:hAnsi="微软雅黑" w:eastAsia="微软雅黑" w:cs="微软雅黑"/>
          <w:color w:val="333333"/>
          <w:sz w:val="21"/>
          <w:szCs w:val="21"/>
          <w:highlight w:val="yellow"/>
          <w:lang w:val="en-US" w:eastAsia="zh-CN"/>
        </w:rPr>
      </w:pPr>
    </w:p>
    <w:tbl>
      <w:tblPr>
        <w:tblW w:w="4723" w:type="dxa"/>
        <w:tblInd w:w="777" w:type="dxa"/>
        <w:shd w:val="clear"/>
        <w:tblLayout w:type="fixed"/>
        <w:tblCellMar>
          <w:top w:w="0" w:type="dxa"/>
          <w:left w:w="0" w:type="dxa"/>
          <w:bottom w:w="0" w:type="dxa"/>
          <w:right w:w="0" w:type="dxa"/>
        </w:tblCellMar>
      </w:tblPr>
      <w:tblGrid>
        <w:gridCol w:w="1227"/>
        <w:gridCol w:w="3496"/>
      </w:tblGrid>
      <w:tr>
        <w:tblPrEx>
          <w:shd w:val="clear"/>
          <w:tblCellMar>
            <w:top w:w="0" w:type="dxa"/>
            <w:left w:w="0" w:type="dxa"/>
            <w:bottom w:w="0" w:type="dxa"/>
            <w:right w:w="0" w:type="dxa"/>
          </w:tblCellMar>
        </w:tblPrEx>
        <w:trPr>
          <w:trHeight w:val="634" w:hRule="atLeast"/>
        </w:trPr>
        <w:tc>
          <w:tcPr>
            <w:tcW w:w="1227" w:type="dxa"/>
            <w:tcBorders>
              <w:top w:val="single" w:color="000000" w:sz="4" w:space="0"/>
              <w:left w:val="single" w:color="000000" w:sz="4" w:space="0"/>
              <w:bottom w:val="single" w:color="000000" w:sz="4" w:space="0"/>
              <w:right w:val="single" w:color="000000" w:sz="4" w:space="0"/>
            </w:tcBorders>
            <w:shd w:val="clear" w:color="auto" w:fill="FABF8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2"/>
                <w:szCs w:val="22"/>
                <w:u w:val="none"/>
                <w:bdr w:val="none" w:color="auto" w:sz="0" w:space="0"/>
                <w:lang w:val="en-US" w:eastAsia="zh-CN" w:bidi="ar"/>
              </w:rPr>
            </w:pPr>
            <w:r>
              <w:rPr>
                <w:rFonts w:hint="eastAsia" w:ascii="宋体" w:hAnsi="宋体" w:eastAsia="宋体" w:cs="宋体"/>
                <w:b/>
                <w:i w:val="0"/>
                <w:color w:val="000000"/>
                <w:kern w:val="0"/>
                <w:sz w:val="22"/>
                <w:szCs w:val="22"/>
                <w:u w:val="none"/>
                <w:bdr w:val="none" w:color="auto" w:sz="0" w:space="0"/>
                <w:lang w:val="en-US" w:eastAsia="zh-CN" w:bidi="ar"/>
              </w:rPr>
              <w:t>序号</w:t>
            </w:r>
          </w:p>
        </w:tc>
        <w:tc>
          <w:tcPr>
            <w:tcW w:w="3496" w:type="dxa"/>
            <w:tcBorders>
              <w:top w:val="single" w:color="000000" w:sz="4" w:space="0"/>
              <w:left w:val="single" w:color="000000" w:sz="4" w:space="0"/>
              <w:bottom w:val="single" w:color="000000" w:sz="4" w:space="0"/>
              <w:right w:val="single" w:color="000000" w:sz="4" w:space="0"/>
            </w:tcBorders>
            <w:shd w:val="clear" w:color="auto" w:fill="FABF8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bdr w:val="none" w:color="auto" w:sz="0" w:space="0"/>
                <w:lang w:val="en-US" w:eastAsia="zh-CN" w:bidi="ar"/>
              </w:rPr>
              <w:t>DCD名称</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江苏人民出版社有限公司</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北京体育大学出版社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华中科技大学出版社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立信出版社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北京体育大学出版社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  社会科学文献出版社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7</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上海辞书出版社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上海中西书局有限公司</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9</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中国法制出版社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10</w:t>
            </w:r>
          </w:p>
        </w:tc>
        <w:tc>
          <w:tcPr>
            <w:tcW w:w="3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电子工业出版社</w:t>
            </w:r>
          </w:p>
        </w:tc>
      </w:tr>
      <w:tr>
        <w:tblPrEx>
          <w:tblCellMar>
            <w:top w:w="0" w:type="dxa"/>
            <w:left w:w="0" w:type="dxa"/>
            <w:bottom w:w="0" w:type="dxa"/>
            <w:right w:w="0" w:type="dxa"/>
          </w:tblCellMar>
        </w:tblPrEx>
        <w:trPr>
          <w:trHeight w:val="27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11</w:t>
            </w:r>
          </w:p>
        </w:tc>
        <w:tc>
          <w:tcPr>
            <w:tcW w:w="3496"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中国人民大学出版社</w:t>
            </w:r>
          </w:p>
        </w:tc>
      </w:tr>
      <w:tr>
        <w:tblPrEx>
          <w:tblCellMar>
            <w:top w:w="0" w:type="dxa"/>
            <w:left w:w="0" w:type="dxa"/>
            <w:bottom w:w="0" w:type="dxa"/>
            <w:right w:w="0" w:type="dxa"/>
          </w:tblCellMar>
        </w:tblPrEx>
        <w:trPr>
          <w:trHeight w:val="285" w:hRule="atLeast"/>
        </w:trPr>
        <w:tc>
          <w:tcPr>
            <w:tcW w:w="122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12</w:t>
            </w:r>
          </w:p>
        </w:tc>
        <w:tc>
          <w:tcPr>
            <w:tcW w:w="349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世界知识出版社</w:t>
            </w:r>
          </w:p>
        </w:tc>
      </w:tr>
    </w:tbl>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226"/>
        <w:jc w:val="left"/>
        <w:textAlignment w:val="auto"/>
        <w:rPr>
          <w:rFonts w:hint="eastAsia" w:ascii="微软雅黑" w:hAnsi="微软雅黑" w:eastAsia="微软雅黑" w:cs="微软雅黑"/>
          <w:color w:val="333333"/>
          <w:sz w:val="21"/>
          <w:szCs w:val="21"/>
          <w:highlight w:val="yellow"/>
          <w:lang w:val="en-US" w:eastAsia="zh-CN"/>
        </w:rPr>
      </w:pPr>
    </w:p>
    <w:sectPr>
      <w:pgSz w:w="12240" w:h="15840"/>
      <w:pgMar w:top="1440" w:right="1800" w:bottom="1440" w:left="1800" w:header="720" w:footer="72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auto"/>
    <w:pitch w:val="default"/>
    <w:sig w:usb0="E10002FF" w:usb1="4000FCFF" w:usb2="00000009" w:usb3="00000000" w:csb0="6000019F" w:csb1="DFD7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304A4"/>
    <w:multiLevelType w:val="multilevel"/>
    <w:tmpl w:val="401304A4"/>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3"/>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495F47"/>
    <w:rsid w:val="0F644BA5"/>
    <w:rsid w:val="10811C05"/>
    <w:rsid w:val="130F0E06"/>
    <w:rsid w:val="1AA114C1"/>
    <w:rsid w:val="1E9946C1"/>
    <w:rsid w:val="2D8D134D"/>
    <w:rsid w:val="5DEC123D"/>
    <w:rsid w:val="62D92551"/>
    <w:rsid w:val="63736BD2"/>
    <w:rsid w:val="653159CE"/>
    <w:rsid w:val="69BA5967"/>
    <w:rsid w:val="6D506772"/>
    <w:rsid w:val="77F76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numPr>
        <w:ilvl w:val="1"/>
        <w:numId w:val="1"/>
      </w:numPr>
      <w:spacing w:before="240" w:after="120" w:line="400" w:lineRule="atLeast"/>
      <w:ind w:left="575" w:hanging="575"/>
      <w:outlineLvl w:val="1"/>
    </w:pPr>
    <w:rPr>
      <w:rFonts w:ascii="Times New Roman" w:hAnsi="Times New Roman" w:cs="Times New Roman"/>
      <w:b/>
      <w:sz w:val="32"/>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eastAsia" w:ascii="Times New Roman" w:hAnsi="Times New Roman" w:cs="Times New Roman"/>
      <w:sz w:val="20"/>
      <w:szCs w:val="20"/>
    </w:rPr>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qFormat/>
    <w:uiPriority w:val="0"/>
    <w:rPr>
      <w:color w:val="337AB7"/>
      <w:u w:val="none"/>
    </w:rPr>
  </w:style>
  <w:style w:type="character" w:styleId="10">
    <w:name w:val="Emphasis"/>
    <w:basedOn w:val="7"/>
    <w:qFormat/>
    <w:uiPriority w:val="0"/>
    <w:rPr>
      <w:i/>
    </w:rPr>
  </w:style>
  <w:style w:type="character" w:styleId="11">
    <w:name w:val="HTML Definition"/>
    <w:basedOn w:val="7"/>
    <w:qFormat/>
    <w:uiPriority w:val="0"/>
    <w:rPr>
      <w:i/>
    </w:rPr>
  </w:style>
  <w:style w:type="character" w:styleId="12">
    <w:name w:val="Hyperlink"/>
    <w:basedOn w:val="7"/>
    <w:qFormat/>
    <w:uiPriority w:val="0"/>
    <w:rPr>
      <w:color w:val="337AB7"/>
      <w:u w:val="none"/>
    </w:rPr>
  </w:style>
  <w:style w:type="character" w:styleId="13">
    <w:name w:val="HTML Code"/>
    <w:basedOn w:val="7"/>
    <w:qFormat/>
    <w:uiPriority w:val="0"/>
    <w:rPr>
      <w:rFonts w:hint="default" w:ascii="Consolas" w:hAnsi="Consolas" w:eastAsia="Consolas" w:cs="Consolas"/>
      <w:color w:val="C7254E"/>
      <w:sz w:val="21"/>
      <w:szCs w:val="21"/>
      <w:shd w:val="clear" w:fill="F9F2F4"/>
    </w:rPr>
  </w:style>
  <w:style w:type="character" w:styleId="14">
    <w:name w:val="HTML Keyboard"/>
    <w:basedOn w:val="7"/>
    <w:qFormat/>
    <w:uiPriority w:val="0"/>
    <w:rPr>
      <w:rFonts w:hint="default" w:ascii="Consolas" w:hAnsi="Consolas" w:eastAsia="Consolas" w:cs="Consolas"/>
      <w:color w:val="FFFFFF"/>
      <w:sz w:val="21"/>
      <w:szCs w:val="21"/>
      <w:shd w:val="clear" w:fill="333333"/>
    </w:rPr>
  </w:style>
  <w:style w:type="character" w:styleId="15">
    <w:name w:val="HTML Sample"/>
    <w:basedOn w:val="7"/>
    <w:qFormat/>
    <w:uiPriority w:val="0"/>
    <w:rPr>
      <w:rFonts w:ascii="Consolas" w:hAnsi="Consolas" w:eastAsia="Consolas" w:cs="Consolas"/>
      <w:sz w:val="21"/>
      <w:szCs w:val="21"/>
    </w:rPr>
  </w:style>
  <w:style w:type="paragraph" w:customStyle="1" w:styleId="16">
    <w:name w:val="msolistparagraph"/>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lcw</dc:creator>
  <cp:lastModifiedBy>李长文</cp:lastModifiedBy>
  <dcterms:modified xsi:type="dcterms:W3CDTF">2021-01-25T05:21:55Z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